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xml:space="preserve">Reunidos en Barcelona en </w:t>
      </w:r>
      <w:r w:rsidRPr="006568FA">
        <w:rPr>
          <w:sz w:val="22"/>
          <w:szCs w:val="22"/>
          <w:highlight w:val="yellow"/>
        </w:rPr>
        <w:t>(*)</w:t>
      </w:r>
      <w:r w:rsidRPr="006568FA">
        <w:rPr>
          <w:sz w:val="22"/>
          <w:szCs w:val="22"/>
        </w:rPr>
        <w:t xml:space="preserve"> de </w:t>
      </w:r>
      <w:r w:rsidRPr="006568FA">
        <w:rPr>
          <w:sz w:val="22"/>
          <w:szCs w:val="22"/>
          <w:highlight w:val="yellow"/>
        </w:rPr>
        <w:t>(*)</w:t>
      </w:r>
      <w:r w:rsidRPr="006568FA">
        <w:rPr>
          <w:sz w:val="22"/>
          <w:szCs w:val="22"/>
        </w:rPr>
        <w:t xml:space="preserve"> de </w:t>
      </w:r>
      <w:r w:rsidRPr="006568FA">
        <w:rPr>
          <w:sz w:val="22"/>
          <w:szCs w:val="22"/>
          <w:highlight w:val="yellow"/>
        </w:rPr>
        <w:t>(*)</w:t>
      </w:r>
      <w:r w:rsidRPr="006568FA">
        <w:rPr>
          <w:sz w:val="22"/>
          <w:szCs w:val="22"/>
        </w:rPr>
        <w:t xml:space="preserve"> (en adelante la "fecha efectiva")</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Por un lado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xml:space="preserve">El Biobanco Hospital Clínic-IDIBAPS (en adelante "el Biobanco"), con domicilio social en Barcelona en la calle Rosselló 149, autorizado en fecha de </w:t>
      </w:r>
      <w:r>
        <w:rPr>
          <w:sz w:val="22"/>
          <w:szCs w:val="22"/>
        </w:rPr>
        <w:t xml:space="preserve">4 de febrero de 2013 por </w:t>
      </w:r>
      <w:smartTag w:uri="urn:schemas-microsoft-com:office:smarttags" w:element="PersonName">
        <w:smartTagPr>
          <w:attr w:name="ProductID" w:val="la Dirección General"/>
        </w:smartTagPr>
        <w:r>
          <w:rPr>
            <w:sz w:val="22"/>
            <w:szCs w:val="22"/>
          </w:rPr>
          <w:t>la Dirección General</w:t>
        </w:r>
      </w:smartTag>
      <w:r>
        <w:rPr>
          <w:sz w:val="22"/>
          <w:szCs w:val="22"/>
        </w:rPr>
        <w:t xml:space="preserve"> de Ordenación y Regulación Sanitaria de </w:t>
      </w:r>
      <w:smartTag w:uri="urn:schemas-microsoft-com:office:smarttags" w:element="PersonName">
        <w:smartTagPr>
          <w:attr w:name="ProductID" w:val="la Generalitat"/>
        </w:smartTagPr>
        <w:r>
          <w:rPr>
            <w:sz w:val="22"/>
            <w:szCs w:val="22"/>
          </w:rPr>
          <w:t>la Generalitat</w:t>
        </w:r>
      </w:smartTag>
      <w:r>
        <w:rPr>
          <w:sz w:val="22"/>
          <w:szCs w:val="22"/>
        </w:rPr>
        <w:t xml:space="preserve"> de Catalunya.</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Y por otro,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xml:space="preserve">El Dr. </w:t>
      </w:r>
      <w:r w:rsidRPr="006568FA">
        <w:rPr>
          <w:sz w:val="22"/>
          <w:szCs w:val="22"/>
          <w:highlight w:val="yellow"/>
        </w:rPr>
        <w:t>(*)</w:t>
      </w:r>
      <w:r w:rsidRPr="006568FA">
        <w:rPr>
          <w:sz w:val="22"/>
          <w:szCs w:val="22"/>
        </w:rPr>
        <w:t xml:space="preserve"> (En adelante "el Receptor"), responsable del proyecto de investigación (en adelante "el Proyecto"</w:t>
      </w:r>
      <w:r>
        <w:rPr>
          <w:sz w:val="22"/>
          <w:szCs w:val="22"/>
        </w:rPr>
        <w:t>) definido en el impreso de Sol</w:t>
      </w:r>
      <w:r w:rsidRPr="006568FA">
        <w:rPr>
          <w:sz w:val="22"/>
          <w:szCs w:val="22"/>
        </w:rPr>
        <w:t xml:space="preserve">icitud de Muestras (IMP-039), con domicilio en </w:t>
      </w:r>
      <w:r>
        <w:rPr>
          <w:sz w:val="22"/>
          <w:szCs w:val="22"/>
          <w:highlight w:val="yellow"/>
        </w:rPr>
        <w:t>(</w:t>
      </w:r>
      <w:r w:rsidRPr="006568FA">
        <w:rPr>
          <w:sz w:val="22"/>
          <w:szCs w:val="22"/>
          <w:highlight w:val="yellow"/>
        </w:rPr>
        <w:t>*)</w:t>
      </w:r>
      <w:r w:rsidRPr="006568FA">
        <w:rPr>
          <w:sz w:val="22"/>
          <w:szCs w:val="22"/>
        </w:rPr>
        <w:t>.</w:t>
      </w:r>
    </w:p>
    <w:p w:rsidR="006568FA" w:rsidRPr="006568FA" w:rsidRDefault="006568FA" w:rsidP="006568FA">
      <w:pPr>
        <w:jc w:val="both"/>
        <w:rPr>
          <w:sz w:val="22"/>
          <w:szCs w:val="22"/>
        </w:rPr>
      </w:pPr>
      <w:r w:rsidRPr="006568FA">
        <w:rPr>
          <w:sz w:val="22"/>
          <w:szCs w:val="22"/>
        </w:rPr>
        <w:t> </w:t>
      </w:r>
    </w:p>
    <w:p w:rsidR="006568FA" w:rsidRPr="006568FA" w:rsidRDefault="006568FA" w:rsidP="006568FA">
      <w:pPr>
        <w:jc w:val="both"/>
        <w:rPr>
          <w:sz w:val="22"/>
          <w:szCs w:val="22"/>
        </w:rPr>
      </w:pPr>
      <w:r w:rsidRPr="006568FA">
        <w:rPr>
          <w:sz w:val="22"/>
          <w:szCs w:val="22"/>
        </w:rPr>
        <w:t>EXPONEN</w:t>
      </w:r>
    </w:p>
    <w:p w:rsidR="006568FA" w:rsidRPr="006568FA" w:rsidRDefault="006568FA" w:rsidP="006568FA">
      <w:pPr>
        <w:jc w:val="both"/>
        <w:rPr>
          <w:sz w:val="22"/>
          <w:szCs w:val="22"/>
        </w:rPr>
      </w:pP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xml:space="preserve">I.- Que el Biobanco, conforme a lo establecido en </w:t>
      </w:r>
      <w:smartTag w:uri="urn:schemas-microsoft-com:office:smarttags" w:element="PersonName">
        <w:smartTagPr>
          <w:attr w:name="ProductID" w:val="la Ley"/>
        </w:smartTagPr>
        <w:r w:rsidRPr="006568FA">
          <w:rPr>
            <w:sz w:val="22"/>
            <w:szCs w:val="22"/>
          </w:rPr>
          <w:t>la Ley</w:t>
        </w:r>
      </w:smartTag>
      <w:r w:rsidRPr="006568FA">
        <w:rPr>
          <w:sz w:val="22"/>
          <w:szCs w:val="22"/>
        </w:rPr>
        <w:t xml:space="preserve"> 14/2007 de Investigación Biomédica, y el RD 1716/2011 de desarrollo de </w:t>
      </w:r>
      <w:smartTag w:uri="urn:schemas-microsoft-com:office:smarttags" w:element="PersonName">
        <w:smartTagPr>
          <w:attr w:name="ProductID" w:val="la Ley"/>
        </w:smartTagPr>
        <w:r w:rsidRPr="006568FA">
          <w:rPr>
            <w:sz w:val="22"/>
            <w:szCs w:val="22"/>
          </w:rPr>
          <w:t>la Ley</w:t>
        </w:r>
      </w:smartTag>
      <w:r w:rsidRPr="006568FA">
        <w:rPr>
          <w:sz w:val="22"/>
          <w:szCs w:val="22"/>
        </w:rPr>
        <w:t xml:space="preserve"> de Investigación Biomédica (en adelante ambas normas "LIB"), es un establecimiento público, sin ánimo de lucro que acoge colecciones de muestras concebidas con fines de investigación biomédica.</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II.- Que el Receptor para llevar a cabo el Proyecto, que ha sido evaluado favorablemente por el Comité Científico y Ético del Biobanco, necesita las muestras biológicas de origen humano (en adelante "el Material") definidas en el impreso de Sol • Solicitud de Muestras (IMP-039).</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III.- Que el Biobanco está en disposición de ofrecer el Material al Receptor que necesita para el desarrollo del Proyecto.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Que de conformidad con lo expuesto las partes acuerdan las siguientes cláusulas:</w:t>
      </w:r>
    </w:p>
    <w:p w:rsidR="006568FA" w:rsidRPr="006568FA" w:rsidRDefault="006568FA" w:rsidP="006568FA">
      <w:pPr>
        <w:jc w:val="both"/>
        <w:rPr>
          <w:sz w:val="22"/>
          <w:szCs w:val="22"/>
        </w:rPr>
      </w:pPr>
    </w:p>
    <w:p w:rsidR="006568FA" w:rsidRPr="006568FA" w:rsidRDefault="006568FA" w:rsidP="006568FA">
      <w:pPr>
        <w:jc w:val="both"/>
        <w:rPr>
          <w:sz w:val="22"/>
          <w:szCs w:val="22"/>
        </w:rPr>
      </w:pPr>
    </w:p>
    <w:p w:rsidR="006568FA" w:rsidRPr="006568FA" w:rsidRDefault="006568FA" w:rsidP="006568FA">
      <w:pPr>
        <w:jc w:val="center"/>
        <w:rPr>
          <w:sz w:val="22"/>
          <w:szCs w:val="22"/>
        </w:rPr>
      </w:pPr>
      <w:r w:rsidRPr="006568FA">
        <w:rPr>
          <w:sz w:val="22"/>
          <w:szCs w:val="22"/>
        </w:rPr>
        <w:t>ACUERDOS</w:t>
      </w:r>
    </w:p>
    <w:p w:rsidR="006568FA" w:rsidRPr="006568FA" w:rsidRDefault="006568FA" w:rsidP="006568FA">
      <w:pPr>
        <w:jc w:val="both"/>
        <w:rPr>
          <w:sz w:val="22"/>
          <w:szCs w:val="22"/>
        </w:rPr>
      </w:pPr>
    </w:p>
    <w:p w:rsidR="006568FA" w:rsidRPr="006568FA" w:rsidRDefault="006568FA" w:rsidP="006568FA">
      <w:pPr>
        <w:jc w:val="both"/>
        <w:rPr>
          <w:sz w:val="22"/>
          <w:szCs w:val="22"/>
        </w:rPr>
      </w:pPr>
    </w:p>
    <w:p w:rsidR="006568FA" w:rsidRPr="006568FA" w:rsidRDefault="006568FA" w:rsidP="006568FA">
      <w:pPr>
        <w:jc w:val="both"/>
        <w:rPr>
          <w:sz w:val="22"/>
          <w:szCs w:val="22"/>
        </w:rPr>
      </w:pPr>
    </w:p>
    <w:p w:rsidR="006568FA" w:rsidRPr="006568FA" w:rsidRDefault="006568FA" w:rsidP="006568FA">
      <w:pPr>
        <w:jc w:val="both"/>
        <w:rPr>
          <w:b/>
          <w:sz w:val="22"/>
          <w:szCs w:val="22"/>
          <w:u w:val="single"/>
        </w:rPr>
      </w:pPr>
      <w:r w:rsidRPr="006568FA">
        <w:rPr>
          <w:b/>
          <w:sz w:val="22"/>
          <w:szCs w:val="22"/>
          <w:u w:val="single"/>
        </w:rPr>
        <w:t>1. Obligaciones del Biobanco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El Biobanco se compromete a:</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Entregar el material definido en el Anexo 2, repercutiendo sólo al Receptor, los gastos de manipulación, conservación y transporte detallad</w:t>
      </w:r>
      <w:r>
        <w:rPr>
          <w:sz w:val="22"/>
          <w:szCs w:val="22"/>
        </w:rPr>
        <w:t>o</w:t>
      </w:r>
      <w:r w:rsidRPr="006568FA">
        <w:rPr>
          <w:sz w:val="22"/>
          <w:szCs w:val="22"/>
        </w:rPr>
        <w:t xml:space="preserve">s </w:t>
      </w:r>
      <w:r>
        <w:rPr>
          <w:sz w:val="22"/>
          <w:szCs w:val="22"/>
        </w:rPr>
        <w:t>en el</w:t>
      </w:r>
      <w:r w:rsidRPr="006568FA">
        <w:rPr>
          <w:sz w:val="22"/>
          <w:szCs w:val="22"/>
        </w:rPr>
        <w:t xml:space="preserve"> presupuesto aceptado por el receptor, según el calendario que se incluye en el mismo.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xml:space="preserve">- Entregar el material de forma </w:t>
      </w:r>
      <w:r w:rsidRPr="006568FA">
        <w:rPr>
          <w:sz w:val="22"/>
          <w:szCs w:val="22"/>
          <w:highlight w:val="yellow"/>
        </w:rPr>
        <w:t>anonimizada / codificada</w:t>
      </w:r>
      <w:r w:rsidRPr="006568FA">
        <w:rPr>
          <w:sz w:val="22"/>
          <w:szCs w:val="22"/>
        </w:rPr>
        <w:t xml:space="preserve"> y en condiciones óptimas para su utilización, de acuerdo con los estándares de calidad del Biobanco, sin que este hecho implique un garantía de que la investigación alcance los resultados previstos. Las muestras cedidas tienen una naturaleza experimental y como tal </w:t>
      </w:r>
      <w:r w:rsidRPr="006568FA">
        <w:rPr>
          <w:sz w:val="22"/>
          <w:szCs w:val="22"/>
        </w:rPr>
        <w:lastRenderedPageBreak/>
        <w:t>pueden tener características no determinadas previamente, de las que no se responsabiliza el Biobanco.</w:t>
      </w:r>
    </w:p>
    <w:p w:rsidR="006568FA" w:rsidRPr="006568FA" w:rsidRDefault="006568FA" w:rsidP="006568FA">
      <w:pPr>
        <w:jc w:val="both"/>
        <w:rPr>
          <w:sz w:val="22"/>
          <w:szCs w:val="22"/>
        </w:rPr>
      </w:pPr>
    </w:p>
    <w:p w:rsidR="006568FA" w:rsidRPr="006568FA" w:rsidRDefault="006568FA" w:rsidP="006568FA">
      <w:pPr>
        <w:jc w:val="both"/>
        <w:rPr>
          <w:b/>
          <w:sz w:val="22"/>
          <w:szCs w:val="22"/>
          <w:u w:val="single"/>
        </w:rPr>
      </w:pPr>
      <w:r w:rsidRPr="006568FA">
        <w:rPr>
          <w:b/>
          <w:sz w:val="22"/>
          <w:szCs w:val="22"/>
          <w:u w:val="single"/>
        </w:rPr>
        <w:t>2. Obligaciones Receptor</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El Receptor se compromete a:</w:t>
      </w:r>
    </w:p>
    <w:p w:rsidR="006568FA" w:rsidRPr="006568FA" w:rsidRDefault="006568FA" w:rsidP="006568FA">
      <w:pPr>
        <w:jc w:val="both"/>
        <w:rPr>
          <w:sz w:val="22"/>
          <w:szCs w:val="22"/>
        </w:rPr>
      </w:pP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xml:space="preserve">- Utilizar el material proporcionado por el Biobanco en las condiciones de bioseguridad establecidas por </w:t>
      </w:r>
      <w:smartTag w:uri="urn:schemas-microsoft-com:office:smarttags" w:element="PersonName">
        <w:smartTagPr>
          <w:attr w:name="ProductID" w:val="la LIB"/>
        </w:smartTagPr>
        <w:r w:rsidRPr="006568FA">
          <w:rPr>
            <w:sz w:val="22"/>
            <w:szCs w:val="22"/>
          </w:rPr>
          <w:t>la LIB</w:t>
        </w:r>
      </w:smartTag>
      <w:r w:rsidRPr="006568FA">
        <w:rPr>
          <w:sz w:val="22"/>
          <w:szCs w:val="22"/>
        </w:rPr>
        <w:t>, y demás normativa vigente, especialmente en lo que se refiere a su transporte, a la destrucción de excedentes y residuos que hayan estado en contacto directo con el material, y observar el reglamento interno de funcionamiento del Biobanco en lo que sea aplicable al Receptor.</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Garantizar la trazabilidad del material y la disponibilidad de la información genética validada y relevante para la salud que se obtenga del análisis del material.</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No ceder el material a otros investigadores, ni utilizar el material con fines diferentes.</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xml:space="preserve">- Una vez finalizado el Proyecto, el material será </w:t>
      </w:r>
      <w:r w:rsidRPr="006568FA">
        <w:rPr>
          <w:sz w:val="22"/>
          <w:szCs w:val="22"/>
          <w:highlight w:val="yellow"/>
        </w:rPr>
        <w:t>destruido / devuelto</w:t>
      </w:r>
      <w:r w:rsidRPr="006568FA">
        <w:rPr>
          <w:sz w:val="22"/>
          <w:szCs w:val="22"/>
        </w:rPr>
        <w:t xml:space="preserve"> al Biobanco.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Informar sobre cualquier posible incidencia que afecte al uso del Material</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Proporcionar información detallada de los parámetros analizados en el conjunto del Material</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Poner a disposición de otros investigadores los resultados de la investigación a través del Biobanco, siempre y cuando no hayan sido publicados en un período no superior a dos años después de la finalización del proyecto.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Custodiar los resultados por un período mínimo de cinco años después de la finalización del proyecto.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Indicar la procedencia del material en todos los trabajos que se realicen con muestras del Biobanco en el apartado de Materiales y Métodos y mediante la frase "We are Indebted to the IDIBAPS Biobank for the sample and fecha procurement" a los agradecimientos.</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Transcurridos dos años, se deberá enviar una memoria de la investigación realizada así como una copia de los artículos científicos publicados que se derivan de la investigación con el material del Biobanco.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Hacerse cargo de los gastos de manipulación, mantenimiento y transporte del material que le proporcione el Biobanco. Estos gastos se detallan en el presupuesto aceptado por el receptor. El pago de las mismas se realizará mediante transferencia bancaria al nº de cc que se indique en la factura correspondiente. El pago deberá realizarse en un plazo de 90 días desde la emisión de la factura.</w:t>
      </w:r>
    </w:p>
    <w:p w:rsidR="006568FA" w:rsidRPr="006568FA" w:rsidRDefault="006568FA" w:rsidP="006568FA">
      <w:pPr>
        <w:jc w:val="both"/>
        <w:rPr>
          <w:sz w:val="22"/>
          <w:szCs w:val="22"/>
        </w:rPr>
      </w:pP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lastRenderedPageBreak/>
        <w:t>En caso de que el centro receptor incumpla alguna de las obligaciones establecidas en este apartado, deberá responder de los daños que pueda sufrir el Biobanco, y mantenerlo indemne de cualquier reclamación de terceros.</w:t>
      </w:r>
    </w:p>
    <w:p w:rsidR="006568FA" w:rsidRPr="006568FA" w:rsidRDefault="006568FA" w:rsidP="006568FA">
      <w:pPr>
        <w:jc w:val="both"/>
        <w:rPr>
          <w:sz w:val="22"/>
          <w:szCs w:val="22"/>
        </w:rPr>
      </w:pPr>
    </w:p>
    <w:p w:rsidR="006568FA" w:rsidRPr="006568FA" w:rsidRDefault="006568FA" w:rsidP="006568FA">
      <w:pPr>
        <w:jc w:val="both"/>
        <w:rPr>
          <w:sz w:val="22"/>
          <w:szCs w:val="22"/>
        </w:rPr>
      </w:pPr>
    </w:p>
    <w:p w:rsidR="006568FA" w:rsidRPr="006568FA" w:rsidRDefault="006568FA" w:rsidP="006568FA">
      <w:pPr>
        <w:jc w:val="both"/>
        <w:rPr>
          <w:b/>
          <w:sz w:val="22"/>
          <w:szCs w:val="22"/>
          <w:u w:val="single"/>
        </w:rPr>
      </w:pPr>
      <w:r w:rsidRPr="006568FA">
        <w:rPr>
          <w:b/>
          <w:sz w:val="22"/>
          <w:szCs w:val="22"/>
          <w:u w:val="single"/>
        </w:rPr>
        <w:t>3. Comunicaciones</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Toda comunicación entre las partes relativa a este Acuerdo deberá hacerse por escrito, sea por correo, telefax o correo electrónico enviados a los datos de contacto referidos más adelante.</w:t>
      </w:r>
    </w:p>
    <w:p w:rsidR="006568FA" w:rsidRPr="006568FA" w:rsidRDefault="006568FA" w:rsidP="006568FA">
      <w:pPr>
        <w:jc w:val="both"/>
        <w:rPr>
          <w:sz w:val="22"/>
          <w:szCs w:val="22"/>
        </w:rPr>
      </w:pPr>
      <w:r w:rsidRPr="006568FA">
        <w:rPr>
          <w:sz w:val="22"/>
          <w:szCs w:val="22"/>
        </w:rPr>
        <w:t>Se considerará debidamente entregadas y recibidas las comunicaciones efectuadas por carta con acuse de recibo y las efectuadas por telefax o correo electrónico cuando pueda acreditarse su recepción.</w:t>
      </w:r>
    </w:p>
    <w:p w:rsidR="006568FA" w:rsidRDefault="006568FA" w:rsidP="006568FA">
      <w:pPr>
        <w:jc w:val="both"/>
        <w:rPr>
          <w:sz w:val="22"/>
          <w:szCs w:val="22"/>
        </w:rPr>
      </w:pPr>
      <w:r w:rsidRPr="006568FA">
        <w:rPr>
          <w:sz w:val="22"/>
          <w:szCs w:val="22"/>
        </w:rPr>
        <w:t>A los efectos de comunicaciones, las partes designan los siguientes datos de contacto:</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BIOBANCO</w:t>
      </w:r>
    </w:p>
    <w:p w:rsidR="006568FA" w:rsidRPr="006568FA" w:rsidRDefault="006568FA" w:rsidP="006568FA">
      <w:pPr>
        <w:jc w:val="both"/>
        <w:rPr>
          <w:sz w:val="22"/>
          <w:szCs w:val="22"/>
        </w:rPr>
      </w:pPr>
      <w:r w:rsidRPr="006568FA">
        <w:rPr>
          <w:sz w:val="22"/>
          <w:szCs w:val="22"/>
        </w:rPr>
        <w:t>Dirección: Roselló 149</w:t>
      </w:r>
    </w:p>
    <w:p w:rsidR="006568FA" w:rsidRPr="006568FA" w:rsidRDefault="006568FA" w:rsidP="006568FA">
      <w:pPr>
        <w:jc w:val="both"/>
        <w:rPr>
          <w:sz w:val="22"/>
          <w:szCs w:val="22"/>
        </w:rPr>
      </w:pPr>
      <w:r w:rsidRPr="006568FA">
        <w:rPr>
          <w:sz w:val="22"/>
          <w:szCs w:val="22"/>
        </w:rPr>
        <w:t>Telefax: 93 3129403</w:t>
      </w:r>
    </w:p>
    <w:p w:rsidR="006568FA" w:rsidRPr="006568FA" w:rsidRDefault="006568FA" w:rsidP="006568FA">
      <w:pPr>
        <w:jc w:val="both"/>
        <w:rPr>
          <w:sz w:val="22"/>
          <w:szCs w:val="22"/>
        </w:rPr>
      </w:pPr>
      <w:r w:rsidRPr="006568FA">
        <w:rPr>
          <w:sz w:val="22"/>
          <w:szCs w:val="22"/>
        </w:rPr>
        <w:t>Correo electrónico: biobancs@clinic.ub.es</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RECEPTOR</w:t>
      </w:r>
    </w:p>
    <w:p w:rsidR="006568FA" w:rsidRPr="006568FA" w:rsidRDefault="006568FA" w:rsidP="006568FA">
      <w:pPr>
        <w:jc w:val="both"/>
        <w:rPr>
          <w:sz w:val="22"/>
          <w:szCs w:val="22"/>
        </w:rPr>
      </w:pPr>
      <w:r w:rsidRPr="006568FA">
        <w:rPr>
          <w:sz w:val="22"/>
          <w:szCs w:val="22"/>
        </w:rPr>
        <w:t xml:space="preserve">Dirección: </w:t>
      </w:r>
      <w:r w:rsidRPr="006568FA">
        <w:rPr>
          <w:sz w:val="22"/>
          <w:szCs w:val="22"/>
          <w:highlight w:val="yellow"/>
        </w:rPr>
        <w:t>[]</w:t>
      </w:r>
    </w:p>
    <w:p w:rsidR="006568FA" w:rsidRPr="006568FA" w:rsidRDefault="006568FA" w:rsidP="006568FA">
      <w:pPr>
        <w:jc w:val="both"/>
        <w:rPr>
          <w:sz w:val="22"/>
          <w:szCs w:val="22"/>
        </w:rPr>
      </w:pPr>
      <w:r w:rsidRPr="006568FA">
        <w:rPr>
          <w:sz w:val="22"/>
          <w:szCs w:val="22"/>
        </w:rPr>
        <w:t xml:space="preserve">Telefax: </w:t>
      </w:r>
      <w:r w:rsidRPr="006568FA">
        <w:rPr>
          <w:sz w:val="22"/>
          <w:szCs w:val="22"/>
          <w:highlight w:val="yellow"/>
        </w:rPr>
        <w:t>[]</w:t>
      </w:r>
    </w:p>
    <w:p w:rsidR="006568FA" w:rsidRDefault="006568FA" w:rsidP="006568FA">
      <w:pPr>
        <w:jc w:val="both"/>
        <w:rPr>
          <w:sz w:val="22"/>
          <w:szCs w:val="22"/>
        </w:rPr>
      </w:pPr>
      <w:r w:rsidRPr="006568FA">
        <w:rPr>
          <w:sz w:val="22"/>
          <w:szCs w:val="22"/>
        </w:rPr>
        <w:t xml:space="preserve">Correo electrónico: </w:t>
      </w:r>
      <w:r w:rsidRPr="006568FA">
        <w:rPr>
          <w:sz w:val="22"/>
          <w:szCs w:val="22"/>
          <w:highlight w:val="yellow"/>
        </w:rPr>
        <w:t>[]</w:t>
      </w:r>
      <w:r w:rsidRPr="006568FA">
        <w:rPr>
          <w:sz w:val="22"/>
          <w:szCs w:val="22"/>
        </w:rPr>
        <w:t xml:space="preserve"> @ </w:t>
      </w:r>
      <w:r w:rsidRPr="006568FA">
        <w:rPr>
          <w:sz w:val="22"/>
          <w:szCs w:val="22"/>
          <w:highlight w:val="yellow"/>
        </w:rPr>
        <w:t>[]</w:t>
      </w:r>
    </w:p>
    <w:p w:rsidR="006568FA" w:rsidRPr="006568FA" w:rsidRDefault="006568FA" w:rsidP="006568FA">
      <w:pPr>
        <w:jc w:val="both"/>
        <w:rPr>
          <w:sz w:val="22"/>
          <w:szCs w:val="22"/>
        </w:rPr>
      </w:pPr>
    </w:p>
    <w:p w:rsidR="006568FA" w:rsidRDefault="006568FA" w:rsidP="006568FA">
      <w:pPr>
        <w:jc w:val="both"/>
        <w:rPr>
          <w:sz w:val="22"/>
          <w:szCs w:val="22"/>
        </w:rPr>
      </w:pPr>
      <w:r w:rsidRPr="006568FA">
        <w:rPr>
          <w:sz w:val="22"/>
          <w:szCs w:val="22"/>
        </w:rPr>
        <w:t>Las comunicaciones enviadas a los datos de contacto anteriores se entenderán correctamente efectuadas, excepto si el destinatario hubiese comunicado previamente a la otra parte un cambio de las mismas por correo certificado con una antelación mínima de cinco días hábiles.</w:t>
      </w: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xml:space="preserve">Como expresión de su consentimiento, las partes rubrican cada una de las hojas de este Acuerdo y firman al pie de los dos ejemplares en que se formaliza el presente Acuerdo, en el lugar establecido en el encabezamiento y en </w:t>
      </w:r>
      <w:smartTag w:uri="urn:schemas-microsoft-com:office:smarttags" w:element="PersonName">
        <w:smartTagPr>
          <w:attr w:name="ProductID" w:val="la Fecha Efectiva."/>
        </w:smartTagPr>
        <w:r w:rsidRPr="006568FA">
          <w:rPr>
            <w:sz w:val="22"/>
            <w:szCs w:val="22"/>
          </w:rPr>
          <w:t>la Fecha Efectiva.</w:t>
        </w:r>
      </w:smartTag>
    </w:p>
    <w:p w:rsidR="006568FA" w:rsidRPr="006568FA" w:rsidRDefault="006568FA" w:rsidP="006568FA">
      <w:pPr>
        <w:jc w:val="both"/>
        <w:rPr>
          <w:sz w:val="22"/>
          <w:szCs w:val="22"/>
        </w:rPr>
      </w:pPr>
    </w:p>
    <w:p w:rsidR="006568FA" w:rsidRP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t> </w:t>
      </w:r>
    </w:p>
    <w:p w:rsidR="006568FA" w:rsidRPr="006568FA" w:rsidRDefault="006568FA" w:rsidP="006568FA">
      <w:pPr>
        <w:jc w:val="both"/>
        <w:rPr>
          <w:sz w:val="22"/>
          <w:szCs w:val="22"/>
        </w:rPr>
      </w:pPr>
    </w:p>
    <w:p w:rsidR="006568FA" w:rsidRDefault="006568FA" w:rsidP="006568FA">
      <w:pPr>
        <w:jc w:val="both"/>
        <w:rPr>
          <w:sz w:val="22"/>
          <w:szCs w:val="22"/>
        </w:rPr>
        <w:sectPr w:rsidR="006568FA" w:rsidSect="00AA6056">
          <w:headerReference w:type="even" r:id="rId7"/>
          <w:headerReference w:type="default" r:id="rId8"/>
          <w:footerReference w:type="even" r:id="rId9"/>
          <w:footerReference w:type="default" r:id="rId10"/>
          <w:headerReference w:type="first" r:id="rId11"/>
          <w:footerReference w:type="first" r:id="rId12"/>
          <w:pgSz w:w="11906" w:h="16838"/>
          <w:pgMar w:top="2157" w:right="1701" w:bottom="1417" w:left="1701" w:header="708" w:footer="708" w:gutter="0"/>
          <w:cols w:space="708"/>
          <w:docGrid w:linePitch="360"/>
        </w:sectPr>
      </w:pPr>
    </w:p>
    <w:p w:rsidR="006568FA" w:rsidRDefault="006568FA" w:rsidP="006568FA">
      <w:pPr>
        <w:jc w:val="both"/>
        <w:rPr>
          <w:sz w:val="22"/>
          <w:szCs w:val="22"/>
        </w:rPr>
      </w:pPr>
      <w:r w:rsidRPr="006568FA">
        <w:rPr>
          <w:sz w:val="22"/>
          <w:szCs w:val="22"/>
        </w:rPr>
        <w:lastRenderedPageBreak/>
        <w:t>_____________</w:t>
      </w:r>
    </w:p>
    <w:p w:rsidR="006568FA" w:rsidRDefault="006568FA" w:rsidP="006568FA">
      <w:pPr>
        <w:jc w:val="both"/>
        <w:rPr>
          <w:sz w:val="22"/>
          <w:szCs w:val="22"/>
        </w:rPr>
      </w:pPr>
    </w:p>
    <w:p w:rsidR="006568FA" w:rsidRDefault="006568FA" w:rsidP="006568FA">
      <w:pPr>
        <w:jc w:val="both"/>
        <w:rPr>
          <w:sz w:val="22"/>
          <w:szCs w:val="22"/>
        </w:rPr>
      </w:pPr>
      <w:r w:rsidRPr="006568FA">
        <w:rPr>
          <w:sz w:val="22"/>
          <w:szCs w:val="22"/>
        </w:rPr>
        <w:t>Receptor</w:t>
      </w:r>
    </w:p>
    <w:p w:rsidR="006568FA" w:rsidRDefault="006568FA" w:rsidP="006568FA">
      <w:pPr>
        <w:jc w:val="both"/>
        <w:rPr>
          <w:sz w:val="22"/>
          <w:szCs w:val="22"/>
        </w:rPr>
      </w:pPr>
    </w:p>
    <w:p w:rsidR="006568FA" w:rsidRDefault="006568FA" w:rsidP="006568FA">
      <w:pPr>
        <w:jc w:val="both"/>
        <w:rPr>
          <w:sz w:val="22"/>
          <w:szCs w:val="22"/>
        </w:rPr>
      </w:pPr>
    </w:p>
    <w:p w:rsidR="006568FA" w:rsidRDefault="006568FA" w:rsidP="006568FA">
      <w:pPr>
        <w:jc w:val="both"/>
        <w:rPr>
          <w:sz w:val="22"/>
          <w:szCs w:val="22"/>
        </w:rPr>
      </w:pPr>
    </w:p>
    <w:p w:rsidR="006568FA" w:rsidRDefault="006568FA" w:rsidP="006568FA">
      <w:pPr>
        <w:jc w:val="both"/>
        <w:rPr>
          <w:sz w:val="22"/>
          <w:szCs w:val="22"/>
        </w:rPr>
      </w:pPr>
    </w:p>
    <w:p w:rsidR="006568FA" w:rsidRDefault="006568FA" w:rsidP="006568FA">
      <w:pPr>
        <w:jc w:val="both"/>
        <w:rPr>
          <w:sz w:val="22"/>
          <w:szCs w:val="22"/>
        </w:rPr>
      </w:pPr>
    </w:p>
    <w:p w:rsidR="006568FA" w:rsidRDefault="006568FA" w:rsidP="006568FA">
      <w:pPr>
        <w:jc w:val="both"/>
        <w:rPr>
          <w:sz w:val="22"/>
          <w:szCs w:val="22"/>
        </w:rPr>
      </w:pPr>
    </w:p>
    <w:p w:rsidR="006568FA" w:rsidRDefault="006568FA" w:rsidP="006568FA">
      <w:pPr>
        <w:jc w:val="both"/>
        <w:rPr>
          <w:sz w:val="22"/>
          <w:szCs w:val="22"/>
        </w:rPr>
      </w:pPr>
    </w:p>
    <w:p w:rsidR="006568FA" w:rsidRDefault="006568FA" w:rsidP="006568FA">
      <w:pPr>
        <w:jc w:val="both"/>
        <w:rPr>
          <w:sz w:val="22"/>
          <w:szCs w:val="22"/>
        </w:rPr>
      </w:pPr>
    </w:p>
    <w:p w:rsidR="006568FA" w:rsidRDefault="006568FA" w:rsidP="006568FA">
      <w:pPr>
        <w:jc w:val="both"/>
        <w:rPr>
          <w:sz w:val="22"/>
          <w:szCs w:val="22"/>
        </w:rPr>
      </w:pPr>
    </w:p>
    <w:p w:rsidR="006568FA" w:rsidRDefault="006568FA" w:rsidP="006568FA">
      <w:pPr>
        <w:jc w:val="both"/>
        <w:rPr>
          <w:sz w:val="22"/>
          <w:szCs w:val="22"/>
        </w:rPr>
      </w:pPr>
    </w:p>
    <w:p w:rsidR="006568FA" w:rsidRPr="006568FA" w:rsidRDefault="006568FA" w:rsidP="006568FA">
      <w:pPr>
        <w:jc w:val="both"/>
        <w:rPr>
          <w:sz w:val="22"/>
          <w:szCs w:val="22"/>
        </w:rPr>
      </w:pPr>
      <w:r w:rsidRPr="006568FA">
        <w:rPr>
          <w:sz w:val="22"/>
          <w:szCs w:val="22"/>
        </w:rPr>
        <w:lastRenderedPageBreak/>
        <w:t>_____________</w:t>
      </w:r>
    </w:p>
    <w:p w:rsidR="006568FA" w:rsidRPr="006568FA" w:rsidRDefault="006568FA" w:rsidP="006568FA">
      <w:pPr>
        <w:jc w:val="both"/>
        <w:rPr>
          <w:sz w:val="22"/>
          <w:szCs w:val="22"/>
        </w:rPr>
      </w:pPr>
    </w:p>
    <w:p w:rsidR="00010BA4" w:rsidRPr="006568FA" w:rsidRDefault="006568FA" w:rsidP="006568FA">
      <w:pPr>
        <w:jc w:val="both"/>
        <w:rPr>
          <w:sz w:val="22"/>
          <w:szCs w:val="22"/>
        </w:rPr>
      </w:pPr>
      <w:r w:rsidRPr="006568FA">
        <w:rPr>
          <w:sz w:val="22"/>
          <w:szCs w:val="22"/>
        </w:rPr>
        <w:t>Biobanco</w:t>
      </w:r>
      <w:r w:rsidR="00EB58A4" w:rsidRPr="006568FA">
        <w:rPr>
          <w:sz w:val="22"/>
          <w:szCs w:val="22"/>
        </w:rPr>
        <w:t xml:space="preserve">                                                   </w:t>
      </w:r>
    </w:p>
    <w:sectPr w:rsidR="00010BA4" w:rsidRPr="006568FA" w:rsidSect="006568FA">
      <w:type w:val="continuous"/>
      <w:pgSz w:w="11906" w:h="16838"/>
      <w:pgMar w:top="215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7BF" w:rsidRDefault="009957BF">
      <w:r>
        <w:separator/>
      </w:r>
    </w:p>
  </w:endnote>
  <w:endnote w:type="continuationSeparator" w:id="0">
    <w:p w:rsidR="009957BF" w:rsidRDefault="009957BF">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95" w:rsidRDefault="00BF789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95" w:rsidRDefault="00BF7895">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95" w:rsidRDefault="00BF789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7BF" w:rsidRDefault="009957BF">
      <w:r>
        <w:separator/>
      </w:r>
    </w:p>
  </w:footnote>
  <w:footnote w:type="continuationSeparator" w:id="0">
    <w:p w:rsidR="009957BF" w:rsidRDefault="009957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95" w:rsidRDefault="00BF789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2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620"/>
      <w:gridCol w:w="5040"/>
      <w:gridCol w:w="1963"/>
    </w:tblGrid>
    <w:tr w:rsidR="00BF7895" w:rsidRPr="00BF2864">
      <w:tblPrEx>
        <w:tblCellMar>
          <w:top w:w="0" w:type="dxa"/>
          <w:bottom w:w="0" w:type="dxa"/>
        </w:tblCellMar>
      </w:tblPrEx>
      <w:trPr>
        <w:cantSplit/>
        <w:trHeight w:val="387"/>
      </w:trPr>
      <w:tc>
        <w:tcPr>
          <w:tcW w:w="1620" w:type="dxa"/>
          <w:vMerge w:val="restart"/>
          <w:tcBorders>
            <w:top w:val="single" w:sz="4" w:space="0" w:color="auto"/>
            <w:left w:val="single" w:sz="4" w:space="0" w:color="auto"/>
            <w:right w:val="single" w:sz="4" w:space="0" w:color="auto"/>
          </w:tcBorders>
          <w:vAlign w:val="center"/>
        </w:tcPr>
        <w:p w:rsidR="00BF7895" w:rsidRPr="00BF2864" w:rsidRDefault="00115360" w:rsidP="00BF2864">
          <w:pPr>
            <w:widowControl w:val="0"/>
            <w:tabs>
              <w:tab w:val="left" w:pos="260"/>
              <w:tab w:val="right" w:pos="8764"/>
            </w:tabs>
            <w:suppressAutoHyphens/>
            <w:spacing w:before="120" w:after="120"/>
            <w:jc w:val="center"/>
            <w:rPr>
              <w:b/>
              <w:bCs/>
              <w:sz w:val="32"/>
              <w:szCs w:val="20"/>
              <w:lang w:val="es-ES_tradnl"/>
            </w:rPr>
          </w:pPr>
          <w:r>
            <w:rPr>
              <w:b/>
              <w:bCs/>
              <w:noProof/>
              <w:sz w:val="32"/>
              <w:szCs w:val="20"/>
            </w:rPr>
            <w:drawing>
              <wp:inline distT="0" distB="0" distL="0" distR="0">
                <wp:extent cx="511810" cy="519430"/>
                <wp:effectExtent l="1905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1810" cy="519430"/>
                        </a:xfrm>
                        <a:prstGeom prst="rect">
                          <a:avLst/>
                        </a:prstGeom>
                        <a:noFill/>
                      </pic:spPr>
                    </pic:pic>
                  </a:graphicData>
                </a:graphic>
              </wp:inline>
            </w:drawing>
          </w:r>
        </w:p>
      </w:tc>
      <w:tc>
        <w:tcPr>
          <w:tcW w:w="5040" w:type="dxa"/>
          <w:vMerge w:val="restart"/>
          <w:tcBorders>
            <w:left w:val="single" w:sz="4" w:space="0" w:color="auto"/>
          </w:tcBorders>
          <w:vAlign w:val="center"/>
        </w:tcPr>
        <w:p w:rsidR="00BF7895" w:rsidRPr="00BF2864" w:rsidRDefault="00BF7895" w:rsidP="00BF2864">
          <w:pPr>
            <w:widowControl w:val="0"/>
            <w:tabs>
              <w:tab w:val="left" w:pos="260"/>
              <w:tab w:val="right" w:pos="8764"/>
            </w:tabs>
            <w:suppressAutoHyphens/>
            <w:spacing w:before="60" w:after="60"/>
            <w:jc w:val="center"/>
            <w:rPr>
              <w:szCs w:val="20"/>
              <w:lang w:val="es-ES_tradnl"/>
            </w:rPr>
          </w:pPr>
          <w:r>
            <w:rPr>
              <w:b/>
              <w:sz w:val="28"/>
              <w:szCs w:val="20"/>
              <w:lang w:val="es-ES_tradnl"/>
            </w:rPr>
            <w:t>ACUERDO DE CESIÓN DE MUESTRAS BIOLÓGICAS</w:t>
          </w:r>
        </w:p>
      </w:tc>
      <w:tc>
        <w:tcPr>
          <w:tcW w:w="1963" w:type="dxa"/>
          <w:vAlign w:val="center"/>
        </w:tcPr>
        <w:p w:rsidR="00BF7895" w:rsidRPr="00BF2864" w:rsidRDefault="00BF7895" w:rsidP="00BF2864">
          <w:pPr>
            <w:widowControl w:val="0"/>
            <w:tabs>
              <w:tab w:val="left" w:pos="-70"/>
              <w:tab w:val="right" w:pos="8764"/>
            </w:tabs>
            <w:suppressAutoHyphens/>
            <w:spacing w:before="60" w:after="60"/>
            <w:rPr>
              <w:sz w:val="22"/>
              <w:szCs w:val="20"/>
              <w:lang w:val="es-ES_tradnl"/>
            </w:rPr>
          </w:pPr>
          <w:r w:rsidRPr="00BF2864">
            <w:rPr>
              <w:sz w:val="22"/>
              <w:szCs w:val="20"/>
              <w:lang w:val="es-ES_tradnl"/>
            </w:rPr>
            <w:t>Nº:</w:t>
          </w:r>
          <w:r>
            <w:rPr>
              <w:sz w:val="22"/>
              <w:szCs w:val="20"/>
              <w:lang w:val="es-ES_tradnl"/>
            </w:rPr>
            <w:t xml:space="preserve"> </w:t>
          </w:r>
          <w:r w:rsidRPr="00BF2864">
            <w:rPr>
              <w:b/>
              <w:bCs/>
              <w:sz w:val="22"/>
              <w:szCs w:val="20"/>
              <w:lang w:val="es-ES_tradnl"/>
            </w:rPr>
            <w:t xml:space="preserve">  </w:t>
          </w:r>
        </w:p>
      </w:tc>
    </w:tr>
    <w:tr w:rsidR="00BF7895" w:rsidRPr="00BF2864">
      <w:tblPrEx>
        <w:tblCellMar>
          <w:top w:w="0" w:type="dxa"/>
          <w:bottom w:w="0" w:type="dxa"/>
        </w:tblCellMar>
      </w:tblPrEx>
      <w:trPr>
        <w:cantSplit/>
        <w:trHeight w:val="386"/>
      </w:trPr>
      <w:tc>
        <w:tcPr>
          <w:tcW w:w="1620" w:type="dxa"/>
          <w:vMerge/>
          <w:tcBorders>
            <w:left w:val="single" w:sz="4" w:space="0" w:color="auto"/>
            <w:bottom w:val="single" w:sz="4" w:space="0" w:color="auto"/>
            <w:right w:val="single" w:sz="4" w:space="0" w:color="auto"/>
          </w:tcBorders>
          <w:vAlign w:val="center"/>
        </w:tcPr>
        <w:p w:rsidR="00BF7895" w:rsidRPr="00BF2864" w:rsidRDefault="00BF7895" w:rsidP="00BF2864">
          <w:pPr>
            <w:widowControl w:val="0"/>
            <w:tabs>
              <w:tab w:val="left" w:pos="260"/>
              <w:tab w:val="right" w:pos="8764"/>
            </w:tabs>
            <w:suppressAutoHyphens/>
            <w:spacing w:before="120" w:after="120"/>
            <w:jc w:val="center"/>
            <w:rPr>
              <w:sz w:val="36"/>
              <w:szCs w:val="20"/>
              <w:lang w:val="es-ES_tradnl"/>
            </w:rPr>
          </w:pPr>
        </w:p>
      </w:tc>
      <w:tc>
        <w:tcPr>
          <w:tcW w:w="5040" w:type="dxa"/>
          <w:vMerge/>
          <w:tcBorders>
            <w:left w:val="single" w:sz="4" w:space="0" w:color="auto"/>
            <w:bottom w:val="single" w:sz="4" w:space="0" w:color="auto"/>
          </w:tcBorders>
          <w:vAlign w:val="center"/>
        </w:tcPr>
        <w:p w:rsidR="00BF7895" w:rsidRPr="00BF2864" w:rsidRDefault="00BF7895" w:rsidP="00BF2864">
          <w:pPr>
            <w:widowControl w:val="0"/>
            <w:tabs>
              <w:tab w:val="left" w:pos="260"/>
              <w:tab w:val="right" w:pos="8764"/>
            </w:tabs>
            <w:suppressAutoHyphens/>
            <w:spacing w:before="60" w:after="60"/>
            <w:jc w:val="center"/>
            <w:rPr>
              <w:noProof/>
              <w:sz w:val="20"/>
              <w:szCs w:val="20"/>
            </w:rPr>
          </w:pPr>
        </w:p>
      </w:tc>
      <w:tc>
        <w:tcPr>
          <w:tcW w:w="1963" w:type="dxa"/>
          <w:tcBorders>
            <w:bottom w:val="single" w:sz="4" w:space="0" w:color="auto"/>
          </w:tcBorders>
          <w:vAlign w:val="center"/>
        </w:tcPr>
        <w:p w:rsidR="00BF7895" w:rsidRPr="00BF2864" w:rsidRDefault="00BF7895" w:rsidP="00BF2864">
          <w:pPr>
            <w:widowControl w:val="0"/>
            <w:tabs>
              <w:tab w:val="left" w:pos="-70"/>
              <w:tab w:val="right" w:pos="8764"/>
            </w:tabs>
            <w:suppressAutoHyphens/>
            <w:spacing w:before="60" w:after="60"/>
            <w:rPr>
              <w:szCs w:val="20"/>
              <w:lang w:val="es-ES_tradnl"/>
            </w:rPr>
          </w:pPr>
          <w:r w:rsidRPr="00BF2864">
            <w:rPr>
              <w:sz w:val="18"/>
              <w:szCs w:val="20"/>
              <w:lang w:val="es-ES_tradnl"/>
            </w:rPr>
            <w:t xml:space="preserve">Página </w:t>
          </w:r>
          <w:r w:rsidRPr="00BF2864">
            <w:rPr>
              <w:sz w:val="18"/>
              <w:szCs w:val="20"/>
              <w:lang w:val="es-ES_tradnl"/>
            </w:rPr>
            <w:fldChar w:fldCharType="begin"/>
          </w:r>
          <w:r w:rsidRPr="00BF2864">
            <w:rPr>
              <w:sz w:val="18"/>
              <w:szCs w:val="20"/>
              <w:lang w:val="es-ES_tradnl"/>
            </w:rPr>
            <w:instrText xml:space="preserve"> PAGE </w:instrText>
          </w:r>
          <w:r w:rsidRPr="00BF2864">
            <w:rPr>
              <w:sz w:val="18"/>
              <w:szCs w:val="20"/>
              <w:lang w:val="es-ES_tradnl"/>
            </w:rPr>
            <w:fldChar w:fldCharType="separate"/>
          </w:r>
          <w:r w:rsidR="00115360">
            <w:rPr>
              <w:noProof/>
              <w:sz w:val="18"/>
              <w:szCs w:val="20"/>
              <w:lang w:val="es-ES_tradnl"/>
            </w:rPr>
            <w:t>1</w:t>
          </w:r>
          <w:r w:rsidRPr="00BF2864">
            <w:rPr>
              <w:sz w:val="18"/>
              <w:szCs w:val="20"/>
              <w:lang w:val="es-ES_tradnl"/>
            </w:rPr>
            <w:fldChar w:fldCharType="end"/>
          </w:r>
          <w:r w:rsidRPr="00BF2864">
            <w:rPr>
              <w:sz w:val="18"/>
              <w:szCs w:val="20"/>
              <w:lang w:val="es-ES_tradnl"/>
            </w:rPr>
            <w:t xml:space="preserve"> de </w:t>
          </w:r>
          <w:r w:rsidRPr="00BF2864">
            <w:rPr>
              <w:sz w:val="18"/>
              <w:szCs w:val="20"/>
              <w:lang w:val="es-ES_tradnl"/>
            </w:rPr>
            <w:fldChar w:fldCharType="begin"/>
          </w:r>
          <w:r w:rsidRPr="00BF2864">
            <w:rPr>
              <w:sz w:val="18"/>
              <w:szCs w:val="20"/>
              <w:lang w:val="es-ES_tradnl"/>
            </w:rPr>
            <w:instrText xml:space="preserve"> NUMPAGES </w:instrText>
          </w:r>
          <w:r w:rsidRPr="00BF2864">
            <w:rPr>
              <w:sz w:val="18"/>
              <w:szCs w:val="20"/>
              <w:lang w:val="es-ES_tradnl"/>
            </w:rPr>
            <w:fldChar w:fldCharType="separate"/>
          </w:r>
          <w:r w:rsidR="00115360">
            <w:rPr>
              <w:noProof/>
              <w:sz w:val="18"/>
              <w:szCs w:val="20"/>
              <w:lang w:val="es-ES_tradnl"/>
            </w:rPr>
            <w:t>3</w:t>
          </w:r>
          <w:r w:rsidRPr="00BF2864">
            <w:rPr>
              <w:sz w:val="18"/>
              <w:szCs w:val="20"/>
              <w:lang w:val="es-ES_tradnl"/>
            </w:rPr>
            <w:fldChar w:fldCharType="end"/>
          </w:r>
        </w:p>
      </w:tc>
    </w:tr>
  </w:tbl>
  <w:p w:rsidR="00BF7895" w:rsidRPr="00AA6056" w:rsidRDefault="00BF7895">
    <w:pPr>
      <w:pStyle w:val="Encabezado"/>
      <w:rPr>
        <w:sz w:val="16"/>
        <w:szCs w:val="16"/>
      </w:rPr>
    </w:pPr>
    <w:r w:rsidRPr="00AA6056">
      <w:rPr>
        <w:sz w:val="16"/>
        <w:szCs w:val="16"/>
      </w:rPr>
      <w:t>IMP</w:t>
    </w:r>
    <w:r>
      <w:rPr>
        <w:sz w:val="16"/>
        <w:szCs w:val="16"/>
      </w:rPr>
      <w:t>-041b</w:t>
    </w:r>
    <w:r w:rsidRPr="00AA6056">
      <w:rPr>
        <w:sz w:val="16"/>
        <w:szCs w:val="16"/>
      </w:rPr>
      <w:t xml:space="preserve"> / </w:t>
    </w:r>
    <w:r>
      <w:rPr>
        <w:sz w:val="16"/>
        <w:szCs w:val="16"/>
      </w:rPr>
      <w:t>B (11/05/2015)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895" w:rsidRDefault="00BF789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872EE"/>
    <w:multiLevelType w:val="hybridMultilevel"/>
    <w:tmpl w:val="D154231C"/>
    <w:lvl w:ilvl="0" w:tplc="12827D6A">
      <w:start w:val="1"/>
      <w:numFmt w:val="bullet"/>
      <w:lvlText w:val="-"/>
      <w:lvlJc w:val="left"/>
      <w:pPr>
        <w:tabs>
          <w:tab w:val="num" w:pos="720"/>
        </w:tabs>
        <w:ind w:left="720" w:hanging="360"/>
      </w:pPr>
      <w:rPr>
        <w:rFonts w:ascii="Trebuchet MS" w:eastAsia="Times New Roman" w:hAnsi="Trebuchet MS"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F62099C"/>
    <w:multiLevelType w:val="hybridMultilevel"/>
    <w:tmpl w:val="81F0382C"/>
    <w:lvl w:ilvl="0" w:tplc="04030001">
      <w:start w:val="3"/>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BF2864"/>
    <w:rsid w:val="00005016"/>
    <w:rsid w:val="00010BA4"/>
    <w:rsid w:val="000169F6"/>
    <w:rsid w:val="00020310"/>
    <w:rsid w:val="00026E99"/>
    <w:rsid w:val="000345C5"/>
    <w:rsid w:val="00042AD5"/>
    <w:rsid w:val="00045151"/>
    <w:rsid w:val="000572D0"/>
    <w:rsid w:val="00066830"/>
    <w:rsid w:val="0007433B"/>
    <w:rsid w:val="000755C6"/>
    <w:rsid w:val="0008435F"/>
    <w:rsid w:val="0009258C"/>
    <w:rsid w:val="000A1859"/>
    <w:rsid w:val="000A40A5"/>
    <w:rsid w:val="000B19E4"/>
    <w:rsid w:val="000F57FC"/>
    <w:rsid w:val="00115360"/>
    <w:rsid w:val="00130C18"/>
    <w:rsid w:val="001310F1"/>
    <w:rsid w:val="0013194C"/>
    <w:rsid w:val="00151382"/>
    <w:rsid w:val="00160447"/>
    <w:rsid w:val="00183CE7"/>
    <w:rsid w:val="001A7139"/>
    <w:rsid w:val="001B5A10"/>
    <w:rsid w:val="001C1E2F"/>
    <w:rsid w:val="001D0D5D"/>
    <w:rsid w:val="001D4BC1"/>
    <w:rsid w:val="002021D3"/>
    <w:rsid w:val="0020388C"/>
    <w:rsid w:val="00211896"/>
    <w:rsid w:val="00213AD0"/>
    <w:rsid w:val="00227C03"/>
    <w:rsid w:val="00252D67"/>
    <w:rsid w:val="00253653"/>
    <w:rsid w:val="00274B55"/>
    <w:rsid w:val="002E7BA3"/>
    <w:rsid w:val="002E7D43"/>
    <w:rsid w:val="002F592E"/>
    <w:rsid w:val="003016B6"/>
    <w:rsid w:val="003218CD"/>
    <w:rsid w:val="00332273"/>
    <w:rsid w:val="00360D4E"/>
    <w:rsid w:val="0039170D"/>
    <w:rsid w:val="003A72B4"/>
    <w:rsid w:val="003C3CA4"/>
    <w:rsid w:val="003D2DCF"/>
    <w:rsid w:val="003E009D"/>
    <w:rsid w:val="003E1871"/>
    <w:rsid w:val="003E2CA7"/>
    <w:rsid w:val="003F0E7E"/>
    <w:rsid w:val="00402073"/>
    <w:rsid w:val="0040711B"/>
    <w:rsid w:val="00407483"/>
    <w:rsid w:val="004360E9"/>
    <w:rsid w:val="00447309"/>
    <w:rsid w:val="00457253"/>
    <w:rsid w:val="00472581"/>
    <w:rsid w:val="00476B91"/>
    <w:rsid w:val="0048495D"/>
    <w:rsid w:val="00492EB3"/>
    <w:rsid w:val="004B182E"/>
    <w:rsid w:val="004E2401"/>
    <w:rsid w:val="004F6661"/>
    <w:rsid w:val="00501775"/>
    <w:rsid w:val="00523127"/>
    <w:rsid w:val="0053031C"/>
    <w:rsid w:val="00530D45"/>
    <w:rsid w:val="005814CB"/>
    <w:rsid w:val="00592F1F"/>
    <w:rsid w:val="00593978"/>
    <w:rsid w:val="00594FB4"/>
    <w:rsid w:val="005A25BE"/>
    <w:rsid w:val="005B31CE"/>
    <w:rsid w:val="006114E8"/>
    <w:rsid w:val="0062134B"/>
    <w:rsid w:val="00622002"/>
    <w:rsid w:val="006277BD"/>
    <w:rsid w:val="00640568"/>
    <w:rsid w:val="00643FB0"/>
    <w:rsid w:val="006568FA"/>
    <w:rsid w:val="00667915"/>
    <w:rsid w:val="0067628B"/>
    <w:rsid w:val="006A1E0D"/>
    <w:rsid w:val="006A6556"/>
    <w:rsid w:val="006B7C1E"/>
    <w:rsid w:val="006C0CBD"/>
    <w:rsid w:val="006C5E07"/>
    <w:rsid w:val="006D4B30"/>
    <w:rsid w:val="006E1AD6"/>
    <w:rsid w:val="006F7DF9"/>
    <w:rsid w:val="006F7F43"/>
    <w:rsid w:val="007077F0"/>
    <w:rsid w:val="00727078"/>
    <w:rsid w:val="007635E5"/>
    <w:rsid w:val="0078202A"/>
    <w:rsid w:val="007A1990"/>
    <w:rsid w:val="007A5DD4"/>
    <w:rsid w:val="007C442C"/>
    <w:rsid w:val="007E2DFC"/>
    <w:rsid w:val="007F1125"/>
    <w:rsid w:val="007F6827"/>
    <w:rsid w:val="00804409"/>
    <w:rsid w:val="00811D60"/>
    <w:rsid w:val="00821F3E"/>
    <w:rsid w:val="00836590"/>
    <w:rsid w:val="00855DFC"/>
    <w:rsid w:val="008633F6"/>
    <w:rsid w:val="00874A61"/>
    <w:rsid w:val="00885B30"/>
    <w:rsid w:val="00885C8E"/>
    <w:rsid w:val="00887082"/>
    <w:rsid w:val="0089421D"/>
    <w:rsid w:val="00895E64"/>
    <w:rsid w:val="008A1FFD"/>
    <w:rsid w:val="008A2F25"/>
    <w:rsid w:val="008C3CC7"/>
    <w:rsid w:val="008E3234"/>
    <w:rsid w:val="008E5EA3"/>
    <w:rsid w:val="008F1BF7"/>
    <w:rsid w:val="009020EE"/>
    <w:rsid w:val="0094084E"/>
    <w:rsid w:val="00960D43"/>
    <w:rsid w:val="00961C79"/>
    <w:rsid w:val="00964A23"/>
    <w:rsid w:val="00970DCD"/>
    <w:rsid w:val="00975BFB"/>
    <w:rsid w:val="009921B9"/>
    <w:rsid w:val="009957BF"/>
    <w:rsid w:val="009D28A8"/>
    <w:rsid w:val="009D6AE4"/>
    <w:rsid w:val="009D6DF7"/>
    <w:rsid w:val="009E1345"/>
    <w:rsid w:val="009E35BD"/>
    <w:rsid w:val="009F696A"/>
    <w:rsid w:val="00A06DD8"/>
    <w:rsid w:val="00A0723A"/>
    <w:rsid w:val="00A26781"/>
    <w:rsid w:val="00A26F41"/>
    <w:rsid w:val="00A377CA"/>
    <w:rsid w:val="00A40554"/>
    <w:rsid w:val="00A56AD2"/>
    <w:rsid w:val="00A57BC3"/>
    <w:rsid w:val="00AA574C"/>
    <w:rsid w:val="00AA6056"/>
    <w:rsid w:val="00AD5335"/>
    <w:rsid w:val="00B02D0A"/>
    <w:rsid w:val="00B22017"/>
    <w:rsid w:val="00B26E74"/>
    <w:rsid w:val="00B416AA"/>
    <w:rsid w:val="00B54905"/>
    <w:rsid w:val="00B606D6"/>
    <w:rsid w:val="00B647A6"/>
    <w:rsid w:val="00B71A0E"/>
    <w:rsid w:val="00B82086"/>
    <w:rsid w:val="00BA2D56"/>
    <w:rsid w:val="00BB7188"/>
    <w:rsid w:val="00BD174C"/>
    <w:rsid w:val="00BF09ED"/>
    <w:rsid w:val="00BF2190"/>
    <w:rsid w:val="00BF23D2"/>
    <w:rsid w:val="00BF2864"/>
    <w:rsid w:val="00BF7895"/>
    <w:rsid w:val="00C008E9"/>
    <w:rsid w:val="00C14612"/>
    <w:rsid w:val="00C33592"/>
    <w:rsid w:val="00C43F56"/>
    <w:rsid w:val="00C553E2"/>
    <w:rsid w:val="00C81A46"/>
    <w:rsid w:val="00C85E9D"/>
    <w:rsid w:val="00C9532F"/>
    <w:rsid w:val="00C9594D"/>
    <w:rsid w:val="00C972F1"/>
    <w:rsid w:val="00CB3066"/>
    <w:rsid w:val="00CB61D0"/>
    <w:rsid w:val="00CC51EF"/>
    <w:rsid w:val="00CD5527"/>
    <w:rsid w:val="00D01305"/>
    <w:rsid w:val="00D03794"/>
    <w:rsid w:val="00D12D40"/>
    <w:rsid w:val="00D248D3"/>
    <w:rsid w:val="00D35741"/>
    <w:rsid w:val="00D464F6"/>
    <w:rsid w:val="00D63AA3"/>
    <w:rsid w:val="00D80600"/>
    <w:rsid w:val="00D956F0"/>
    <w:rsid w:val="00DA39D8"/>
    <w:rsid w:val="00DD00A1"/>
    <w:rsid w:val="00DE20DF"/>
    <w:rsid w:val="00E05008"/>
    <w:rsid w:val="00E1356F"/>
    <w:rsid w:val="00E379E2"/>
    <w:rsid w:val="00E670DE"/>
    <w:rsid w:val="00E76C89"/>
    <w:rsid w:val="00E8272A"/>
    <w:rsid w:val="00E94DFE"/>
    <w:rsid w:val="00EA0E9D"/>
    <w:rsid w:val="00EB58A4"/>
    <w:rsid w:val="00ED588D"/>
    <w:rsid w:val="00EE630D"/>
    <w:rsid w:val="00F043C3"/>
    <w:rsid w:val="00F11FAE"/>
    <w:rsid w:val="00F26AD1"/>
    <w:rsid w:val="00F27B93"/>
    <w:rsid w:val="00F372C3"/>
    <w:rsid w:val="00F55C3A"/>
    <w:rsid w:val="00F7136B"/>
    <w:rsid w:val="00F77855"/>
    <w:rsid w:val="00FA0E7B"/>
    <w:rsid w:val="00FA5913"/>
    <w:rsid w:val="00FB1A17"/>
    <w:rsid w:val="00FB4E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rebuchet MS" w:hAnsi="Trebuchet MS"/>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BF2864"/>
    <w:pPr>
      <w:spacing w:before="100" w:beforeAutospacing="1" w:after="100" w:afterAutospacing="1"/>
    </w:pPr>
    <w:rPr>
      <w:rFonts w:ascii="Times New Roman" w:hAnsi="Times New Roman"/>
      <w:lang w:val="ca-ES" w:eastAsia="ca-ES"/>
    </w:rPr>
  </w:style>
  <w:style w:type="paragraph" w:styleId="Encabezado">
    <w:name w:val="header"/>
    <w:basedOn w:val="Normal"/>
    <w:rsid w:val="00BF2864"/>
    <w:pPr>
      <w:tabs>
        <w:tab w:val="center" w:pos="4252"/>
        <w:tab w:val="right" w:pos="8504"/>
      </w:tabs>
    </w:pPr>
  </w:style>
  <w:style w:type="paragraph" w:styleId="Piedepgina">
    <w:name w:val="footer"/>
    <w:basedOn w:val="Normal"/>
    <w:rsid w:val="00BF2864"/>
    <w:pPr>
      <w:tabs>
        <w:tab w:val="center" w:pos="4252"/>
        <w:tab w:val="right" w:pos="8504"/>
      </w:tabs>
    </w:pPr>
  </w:style>
  <w:style w:type="table" w:styleId="Tablaconcuadrcula">
    <w:name w:val="Table Grid"/>
    <w:basedOn w:val="Tablanormal"/>
    <w:rsid w:val="00CB3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C1E2F"/>
    <w:rPr>
      <w:color w:val="0000FF"/>
      <w:u w:val="single"/>
    </w:rPr>
  </w:style>
  <w:style w:type="paragraph" w:styleId="Textodeglobo">
    <w:name w:val="Balloon Text"/>
    <w:basedOn w:val="Normal"/>
    <w:semiHidden/>
    <w:rsid w:val="009E35BD"/>
    <w:rPr>
      <w:rFonts w:ascii="Tahoma" w:hAnsi="Tahoma" w:cs="Tahoma"/>
      <w:sz w:val="16"/>
      <w:szCs w:val="16"/>
    </w:rPr>
  </w:style>
  <w:style w:type="character" w:styleId="Refdecomentario">
    <w:name w:val="annotation reference"/>
    <w:semiHidden/>
    <w:rsid w:val="00492EB3"/>
    <w:rPr>
      <w:sz w:val="16"/>
      <w:szCs w:val="16"/>
    </w:rPr>
  </w:style>
  <w:style w:type="paragraph" w:styleId="Textocomentario">
    <w:name w:val="annotation text"/>
    <w:basedOn w:val="Normal"/>
    <w:semiHidden/>
    <w:rsid w:val="00492EB3"/>
    <w:rPr>
      <w:rFonts w:ascii="Times New Roman" w:hAnsi="Times New Roman"/>
      <w:sz w:val="20"/>
      <w:szCs w:val="20"/>
      <w:lang w:val="ca-ES"/>
    </w:rPr>
  </w:style>
  <w:style w:type="paragraph" w:styleId="Prrafodelista">
    <w:name w:val="List Paragraph"/>
    <w:basedOn w:val="Normal"/>
    <w:uiPriority w:val="34"/>
    <w:qFormat/>
    <w:rsid w:val="0039170D"/>
    <w:pPr>
      <w:ind w:left="708"/>
    </w:pPr>
  </w:style>
</w:styles>
</file>

<file path=word/webSettings.xml><?xml version="1.0" encoding="utf-8"?>
<w:webSettings xmlns:r="http://schemas.openxmlformats.org/officeDocument/2006/relationships" xmlns:w="http://schemas.openxmlformats.org/wordprocessingml/2006/main">
  <w:divs>
    <w:div w:id="167789689">
      <w:bodyDiv w:val="1"/>
      <w:marLeft w:val="0"/>
      <w:marRight w:val="0"/>
      <w:marTop w:val="0"/>
      <w:marBottom w:val="0"/>
      <w:divBdr>
        <w:top w:val="none" w:sz="0" w:space="0" w:color="auto"/>
        <w:left w:val="none" w:sz="0" w:space="0" w:color="auto"/>
        <w:bottom w:val="none" w:sz="0" w:space="0" w:color="auto"/>
        <w:right w:val="none" w:sz="0" w:space="0" w:color="auto"/>
      </w:divBdr>
    </w:div>
    <w:div w:id="663972445">
      <w:bodyDiv w:val="1"/>
      <w:marLeft w:val="0"/>
      <w:marRight w:val="0"/>
      <w:marTop w:val="0"/>
      <w:marBottom w:val="0"/>
      <w:divBdr>
        <w:top w:val="none" w:sz="0" w:space="0" w:color="auto"/>
        <w:left w:val="none" w:sz="0" w:space="0" w:color="auto"/>
        <w:bottom w:val="none" w:sz="0" w:space="0" w:color="auto"/>
        <w:right w:val="none" w:sz="0" w:space="0" w:color="auto"/>
      </w:divBdr>
    </w:div>
    <w:div w:id="991786758">
      <w:bodyDiv w:val="1"/>
      <w:marLeft w:val="0"/>
      <w:marRight w:val="0"/>
      <w:marTop w:val="0"/>
      <w:marBottom w:val="0"/>
      <w:divBdr>
        <w:top w:val="none" w:sz="0" w:space="0" w:color="auto"/>
        <w:left w:val="none" w:sz="0" w:space="0" w:color="auto"/>
        <w:bottom w:val="none" w:sz="0" w:space="0" w:color="auto"/>
        <w:right w:val="none" w:sz="0" w:space="0" w:color="auto"/>
      </w:divBdr>
    </w:div>
    <w:div w:id="1385326459">
      <w:bodyDiv w:val="1"/>
      <w:marLeft w:val="0"/>
      <w:marRight w:val="0"/>
      <w:marTop w:val="0"/>
      <w:marBottom w:val="0"/>
      <w:divBdr>
        <w:top w:val="none" w:sz="0" w:space="0" w:color="auto"/>
        <w:left w:val="none" w:sz="0" w:space="0" w:color="auto"/>
        <w:bottom w:val="none" w:sz="0" w:space="0" w:color="auto"/>
        <w:right w:val="none" w:sz="0" w:space="0" w:color="auto"/>
      </w:divBdr>
    </w:div>
    <w:div w:id="149679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PROYECTO 1</vt:lpstr>
    </vt:vector>
  </TitlesOfParts>
  <Company>CSC</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1</dc:title>
  <dc:creator>BOSCH, ANNA (IDIBAPS)</dc:creator>
  <cp:lastModifiedBy>mramis</cp:lastModifiedBy>
  <cp:revision>2</cp:revision>
  <cp:lastPrinted>2010-08-18T09:44:00Z</cp:lastPrinted>
  <dcterms:created xsi:type="dcterms:W3CDTF">2015-11-11T13:07:00Z</dcterms:created>
  <dcterms:modified xsi:type="dcterms:W3CDTF">2015-11-11T13:07:00Z</dcterms:modified>
</cp:coreProperties>
</file>